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F77D4" w14:textId="77777777" w:rsidR="00296BF5" w:rsidRDefault="00296BF5" w:rsidP="00296BF5">
      <w:pPr>
        <w:jc w:val="center"/>
        <w:rPr>
          <w:rFonts w:ascii="Arial" w:hAnsi="Arial"/>
          <w:b/>
          <w:smallCaps/>
          <w:sz w:val="40"/>
          <w:szCs w:val="40"/>
          <w:u w:val="single"/>
        </w:rPr>
      </w:pPr>
      <w:r w:rsidRPr="000F0F76">
        <w:rPr>
          <w:rFonts w:ascii="Arial" w:hAnsi="Arial"/>
          <w:b/>
          <w:smallCaps/>
          <w:sz w:val="40"/>
          <w:szCs w:val="40"/>
          <w:u w:val="single"/>
        </w:rPr>
        <w:t>ANNEXE II - ANNEXE FINANCIERE</w:t>
      </w:r>
    </w:p>
    <w:p w14:paraId="4A34E984" w14:textId="50C5AF76" w:rsidR="00296BF5" w:rsidRDefault="00296BF5" w:rsidP="00296BF5">
      <w:pPr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799D7EE3" w14:textId="77777777" w:rsidR="00296BF5" w:rsidRDefault="00296BF5" w:rsidP="00296BF5">
      <w:pPr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tbl>
      <w:tblPr>
        <w:tblW w:w="90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7"/>
      </w:tblGrid>
      <w:tr w:rsidR="00296BF5" w:rsidRPr="00D942B7" w14:paraId="18370F69" w14:textId="77777777" w:rsidTr="00AA0F05">
        <w:trPr>
          <w:jc w:val="center"/>
        </w:trPr>
        <w:tc>
          <w:tcPr>
            <w:tcW w:w="9097" w:type="dxa"/>
            <w:shd w:val="clear" w:color="auto" w:fill="E0E0E0"/>
          </w:tcPr>
          <w:p w14:paraId="6AEF3D33" w14:textId="77777777" w:rsidR="00296BF5" w:rsidRPr="00B43626" w:rsidRDefault="00296BF5" w:rsidP="00AA0F0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Pouvoir adjudicateur</w:t>
            </w:r>
          </w:p>
          <w:p w14:paraId="770BBBF8" w14:textId="77777777" w:rsidR="00296BF5" w:rsidRPr="00B43626" w:rsidRDefault="00296BF5" w:rsidP="00AA0F05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296BF5" w:rsidRPr="00D942B7" w14:paraId="60A4BC92" w14:textId="77777777" w:rsidTr="00AA0F05">
        <w:trPr>
          <w:jc w:val="center"/>
        </w:trPr>
        <w:tc>
          <w:tcPr>
            <w:tcW w:w="9097" w:type="dxa"/>
          </w:tcPr>
          <w:p w14:paraId="1356DB6E" w14:textId="3C0AF8AD" w:rsidR="00296BF5" w:rsidRPr="00B43626" w:rsidRDefault="00296BF5" w:rsidP="00AA0F05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  <w:bookmarkStart w:id="0" w:name="_Hlk65500305"/>
            <w:r w:rsidRPr="00A06627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685FB4E" wp14:editId="6FD0928C">
                  <wp:simplePos x="0" y="0"/>
                  <wp:positionH relativeFrom="column">
                    <wp:posOffset>2986405</wp:posOffset>
                  </wp:positionH>
                  <wp:positionV relativeFrom="paragraph">
                    <wp:posOffset>67945</wp:posOffset>
                  </wp:positionV>
                  <wp:extent cx="1914525" cy="368935"/>
                  <wp:effectExtent l="0" t="0" r="9525" b="0"/>
                  <wp:wrapThrough wrapText="bothSides">
                    <wp:wrapPolygon edited="0">
                      <wp:start x="0" y="0"/>
                      <wp:lineTo x="0" y="20076"/>
                      <wp:lineTo x="21493" y="20076"/>
                      <wp:lineTo x="21493" y="0"/>
                      <wp:lineTo x="0" y="0"/>
                    </wp:wrapPolygon>
                  </wp:wrapThrough>
                  <wp:docPr id="11186491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36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062CCBDA" w14:textId="4752516F" w:rsidR="00296BF5" w:rsidRPr="00B43626" w:rsidRDefault="00296BF5" w:rsidP="00AA0F05">
            <w:pPr>
              <w:ind w:right="-1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URSSAF NORD</w:t>
            </w:r>
            <w:r>
              <w:rPr>
                <w:rFonts w:cs="Calibri"/>
                <w:b/>
                <w:bCs/>
                <w:szCs w:val="22"/>
              </w:rPr>
              <w:t xml:space="preserve"> PAS-DE-CALAIS</w:t>
            </w:r>
          </w:p>
          <w:p w14:paraId="0E61C9C4" w14:textId="77777777" w:rsidR="00296BF5" w:rsidRDefault="00296BF5" w:rsidP="00296BF5">
            <w:pPr>
              <w:spacing w:line="240" w:lineRule="exact"/>
              <w:ind w:right="1021"/>
              <w:rPr>
                <w:rFonts w:ascii="Arial" w:hAnsi="Arial"/>
                <w:b/>
                <w:szCs w:val="22"/>
              </w:rPr>
            </w:pPr>
            <w:bookmarkStart w:id="1" w:name="_Hlk116037382"/>
            <w:bookmarkStart w:id="2" w:name="_Hlk116036826"/>
            <w:r>
              <w:rPr>
                <w:rFonts w:ascii="Arial" w:hAnsi="Arial"/>
                <w:szCs w:val="22"/>
              </w:rPr>
              <w:t>293, avenue du Président Hoover</w:t>
            </w:r>
            <w:r>
              <w:rPr>
                <w:noProof/>
              </w:rPr>
              <w:t xml:space="preserve"> </w:t>
            </w:r>
            <w:bookmarkEnd w:id="1"/>
          </w:p>
          <w:p w14:paraId="7F3FAE76" w14:textId="1A526D1A" w:rsidR="00296BF5" w:rsidRPr="00296BF5" w:rsidRDefault="00296BF5" w:rsidP="00296BF5">
            <w:pPr>
              <w:spacing w:line="240" w:lineRule="exact"/>
              <w:ind w:right="1021"/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szCs w:val="22"/>
              </w:rPr>
              <w:t>59032</w:t>
            </w:r>
            <w:r w:rsidRPr="009B7349">
              <w:rPr>
                <w:rFonts w:ascii="Arial" w:hAnsi="Arial"/>
                <w:szCs w:val="22"/>
              </w:rPr>
              <w:t xml:space="preserve"> </w:t>
            </w:r>
            <w:r>
              <w:rPr>
                <w:rFonts w:ascii="Arial" w:hAnsi="Arial"/>
                <w:szCs w:val="22"/>
              </w:rPr>
              <w:t xml:space="preserve">LILLE CEDEX                                                       </w:t>
            </w:r>
            <w:r w:rsidRPr="00296BF5">
              <w:rPr>
                <w:rFonts w:ascii="Arial" w:hAnsi="Arial" w:cs="Arial"/>
                <w:b/>
                <w:bCs/>
                <w:color w:val="0070C0"/>
                <w:szCs w:val="22"/>
              </w:rPr>
              <w:t>Nord Pas-de-Calais</w:t>
            </w:r>
          </w:p>
          <w:bookmarkEnd w:id="2"/>
          <w:p w14:paraId="70434B18" w14:textId="7E58FC64" w:rsidR="00296BF5" w:rsidRPr="00B43626" w:rsidRDefault="00296BF5" w:rsidP="00AA0F05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2AE319C3" w14:textId="0F5E12D7" w:rsidR="00296BF5" w:rsidRDefault="00296BF5" w:rsidP="00296BF5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37871637" w14:textId="77777777" w:rsidR="00296BF5" w:rsidRDefault="00296BF5" w:rsidP="00296BF5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656016D1" w14:textId="77777777" w:rsidR="00296BF5" w:rsidRDefault="00296BF5" w:rsidP="00296BF5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905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2"/>
      </w:tblGrid>
      <w:tr w:rsidR="00296BF5" w:rsidRPr="00D942B7" w14:paraId="66657460" w14:textId="77777777" w:rsidTr="00AA0F05">
        <w:trPr>
          <w:jc w:val="center"/>
        </w:trPr>
        <w:tc>
          <w:tcPr>
            <w:tcW w:w="9052" w:type="dxa"/>
            <w:shd w:val="clear" w:color="auto" w:fill="E0E0E0"/>
          </w:tcPr>
          <w:p w14:paraId="32584CFB" w14:textId="77777777" w:rsidR="00296BF5" w:rsidRPr="00B43626" w:rsidRDefault="00296BF5" w:rsidP="00AA0F0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Objet de la consultation</w:t>
            </w:r>
          </w:p>
          <w:p w14:paraId="008E1919" w14:textId="77777777" w:rsidR="00296BF5" w:rsidRPr="00B43626" w:rsidRDefault="00296BF5" w:rsidP="00AA0F05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296BF5" w:rsidRPr="00D942B7" w14:paraId="3D727F5E" w14:textId="77777777" w:rsidTr="00AA0F05">
        <w:trPr>
          <w:jc w:val="center"/>
        </w:trPr>
        <w:tc>
          <w:tcPr>
            <w:tcW w:w="9052" w:type="dxa"/>
          </w:tcPr>
          <w:p w14:paraId="5D2E6BBA" w14:textId="77777777" w:rsidR="00296BF5" w:rsidRPr="00B43626" w:rsidRDefault="00296BF5" w:rsidP="00AA0F05">
            <w:pPr>
              <w:jc w:val="center"/>
              <w:rPr>
                <w:rFonts w:cs="Calibri"/>
                <w:b/>
                <w:bCs/>
                <w:szCs w:val="22"/>
              </w:rPr>
            </w:pPr>
          </w:p>
          <w:p w14:paraId="5461C556" w14:textId="358590D5" w:rsidR="00296BF5" w:rsidRPr="00296BF5" w:rsidRDefault="00296BF5" w:rsidP="00296BF5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 xml:space="preserve">Marché </w:t>
            </w:r>
            <w:r w:rsidRPr="00B43626">
              <w:rPr>
                <w:rFonts w:cs="Calibri"/>
                <w:b/>
                <w:bCs/>
                <w:szCs w:val="22"/>
              </w:rPr>
              <w:t>n°</w:t>
            </w:r>
            <w:r>
              <w:rPr>
                <w:rFonts w:cs="Calibri"/>
                <w:b/>
                <w:bCs/>
                <w:szCs w:val="22"/>
              </w:rPr>
              <w:t>2025-GR-03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Cs w:val="22"/>
              </w:rPr>
              <w:t>–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 w:rsidRPr="00296BF5">
              <w:rPr>
                <w:rFonts w:cs="Calibri"/>
                <w:b/>
                <w:bCs/>
                <w:szCs w:val="22"/>
              </w:rPr>
              <w:t>Prestations d’acheminement du courrier et de colis par navettes</w:t>
            </w:r>
          </w:p>
          <w:p w14:paraId="7B606E40" w14:textId="77777777" w:rsidR="00296BF5" w:rsidRPr="00B43626" w:rsidRDefault="00296BF5" w:rsidP="00296BF5">
            <w:pPr>
              <w:rPr>
                <w:rFonts w:cs="Calibri"/>
                <w:b/>
                <w:bCs/>
                <w:szCs w:val="22"/>
              </w:rPr>
            </w:pPr>
          </w:p>
        </w:tc>
      </w:tr>
    </w:tbl>
    <w:p w14:paraId="6C8D0533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790D5D60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10C422CA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4F775D0C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31398202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063D48BE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296BF5" w14:paraId="51297E2E" w14:textId="77777777" w:rsidTr="00AA0F05">
        <w:tc>
          <w:tcPr>
            <w:tcW w:w="10763" w:type="dxa"/>
          </w:tcPr>
          <w:p w14:paraId="781C5578" w14:textId="77777777" w:rsidR="00296BF5" w:rsidRDefault="00296BF5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Calibri" w:hAnsi="Calibri" w:cs="Calibri"/>
                <w:b/>
                <w:bCs/>
                <w:sz w:val="22"/>
                <w:szCs w:val="22"/>
              </w:rPr>
              <w:t>Engagement du candidat</w:t>
            </w:r>
          </w:p>
          <w:p w14:paraId="043BF909" w14:textId="6CCE110D" w:rsidR="00F671ED" w:rsidRPr="00B43626" w:rsidRDefault="00F671ED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Lot n° …</w:t>
            </w:r>
          </w:p>
          <w:p w14:paraId="7207E27D" w14:textId="77777777" w:rsidR="00296BF5" w:rsidRPr="00B43626" w:rsidRDefault="00296BF5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Calibri" w:hAnsi="Calibri" w:cs="Calibri"/>
              </w:rPr>
              <w:t>Fait en un seul exemplaire original</w:t>
            </w:r>
          </w:p>
          <w:p w14:paraId="3388C607" w14:textId="77777777" w:rsidR="00296BF5" w:rsidRPr="00B43626" w:rsidRDefault="00296BF5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À ………………………………………………….   Le ………………………………….</w:t>
            </w:r>
          </w:p>
          <w:p w14:paraId="2121D4AF" w14:textId="77777777" w:rsidR="00296BF5" w:rsidRDefault="00296BF5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 xml:space="preserve">Nom et qualité du signataire (personne habilitée pour signer le marché) </w:t>
            </w:r>
          </w:p>
          <w:p w14:paraId="29E904C2" w14:textId="77777777" w:rsidR="00296BF5" w:rsidRPr="00B43626" w:rsidRDefault="00296BF5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</w:p>
          <w:p w14:paraId="6B684F61" w14:textId="77777777" w:rsidR="00296BF5" w:rsidRPr="00B43626" w:rsidRDefault="00296BF5" w:rsidP="00AA0F05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Signature et cachet de l'entreprise</w:t>
            </w:r>
          </w:p>
          <w:p w14:paraId="7BB1A455" w14:textId="77777777" w:rsidR="00296BF5" w:rsidRDefault="00296BF5" w:rsidP="00AA0F05">
            <w:pPr>
              <w:jc w:val="center"/>
              <w:rPr>
                <w:rFonts w:ascii="Arial" w:hAnsi="Arial"/>
                <w:b/>
                <w:u w:val="single"/>
              </w:rPr>
            </w:pPr>
          </w:p>
          <w:p w14:paraId="6752D55F" w14:textId="77777777" w:rsidR="00243027" w:rsidRDefault="00243027" w:rsidP="00AA0F05">
            <w:pPr>
              <w:jc w:val="center"/>
              <w:rPr>
                <w:rFonts w:ascii="Arial" w:hAnsi="Arial"/>
                <w:b/>
                <w:u w:val="single"/>
              </w:rPr>
            </w:pPr>
          </w:p>
          <w:p w14:paraId="1BBA3254" w14:textId="77777777" w:rsidR="00243027" w:rsidRDefault="00243027" w:rsidP="00AA0F05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</w:tbl>
    <w:p w14:paraId="3FDA975B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3FED666F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117F8B24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65099D3F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3CE26A6E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5519D10E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5A75F0C8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79A31BAB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0169685C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43D54100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672B83F3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p w14:paraId="0B71FC9D" w14:textId="77777777" w:rsidR="00296BF5" w:rsidRDefault="00296BF5" w:rsidP="00296BF5">
      <w:pPr>
        <w:jc w:val="center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3587"/>
        <w:gridCol w:w="3587"/>
      </w:tblGrid>
      <w:tr w:rsidR="00296BF5" w:rsidRPr="00296BF5" w14:paraId="37FB2195" w14:textId="77777777" w:rsidTr="00F671ED">
        <w:tc>
          <w:tcPr>
            <w:tcW w:w="10763" w:type="dxa"/>
            <w:gridSpan w:val="3"/>
            <w:shd w:val="clear" w:color="auto" w:fill="auto"/>
          </w:tcPr>
          <w:p w14:paraId="7CBD7052" w14:textId="77777777" w:rsidR="00296BF5" w:rsidRPr="00296BF5" w:rsidRDefault="00296BF5" w:rsidP="00296BF5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</w:p>
          <w:p w14:paraId="0A8AF859" w14:textId="77777777" w:rsidR="00296BF5" w:rsidRPr="00296BF5" w:rsidRDefault="00296BF5" w:rsidP="00296BF5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  <w:r w:rsidRPr="00296BF5">
              <w:rPr>
                <w:rFonts w:ascii="Arial" w:hAnsi="Arial"/>
                <w:b/>
                <w:sz w:val="28"/>
                <w:szCs w:val="28"/>
              </w:rPr>
              <w:t>Coûts forfaitaires acheminement du courrier</w:t>
            </w:r>
          </w:p>
          <w:p w14:paraId="106619DE" w14:textId="77777777" w:rsidR="00296BF5" w:rsidRPr="00296BF5" w:rsidRDefault="00296BF5" w:rsidP="00296BF5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296BF5" w:rsidRPr="00296BF5" w14:paraId="5943CB16" w14:textId="77777777" w:rsidTr="00F671ED">
        <w:tc>
          <w:tcPr>
            <w:tcW w:w="3589" w:type="dxa"/>
            <w:shd w:val="clear" w:color="auto" w:fill="D9D9D9"/>
          </w:tcPr>
          <w:p w14:paraId="384412FE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  <w:p w14:paraId="26996727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  <w:p w14:paraId="66170494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  <w:tc>
          <w:tcPr>
            <w:tcW w:w="3587" w:type="dxa"/>
            <w:shd w:val="clear" w:color="auto" w:fill="auto"/>
          </w:tcPr>
          <w:p w14:paraId="1C179190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</w:p>
          <w:p w14:paraId="4F37F516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  <w:r w:rsidRPr="00296BF5">
              <w:rPr>
                <w:rFonts w:ascii="Arial" w:hAnsi="Arial"/>
                <w:szCs w:val="22"/>
              </w:rPr>
              <w:t>Coût forfaitaire € HT / toutes liaisons (1)</w:t>
            </w:r>
          </w:p>
          <w:p w14:paraId="30C23A8A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</w:p>
        </w:tc>
        <w:tc>
          <w:tcPr>
            <w:tcW w:w="3587" w:type="dxa"/>
            <w:shd w:val="clear" w:color="auto" w:fill="auto"/>
          </w:tcPr>
          <w:p w14:paraId="264C890A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</w:p>
          <w:p w14:paraId="6132145B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  <w:r w:rsidRPr="00296BF5">
              <w:rPr>
                <w:rFonts w:ascii="Arial" w:hAnsi="Arial"/>
                <w:szCs w:val="22"/>
              </w:rPr>
              <w:t>Coût forfaitaire € TTC / toutes liaisons (1)</w:t>
            </w:r>
          </w:p>
        </w:tc>
      </w:tr>
      <w:tr w:rsidR="00296BF5" w:rsidRPr="00296BF5" w14:paraId="3E59D7D1" w14:textId="77777777" w:rsidTr="00F671ED">
        <w:tc>
          <w:tcPr>
            <w:tcW w:w="3589" w:type="dxa"/>
            <w:shd w:val="clear" w:color="auto" w:fill="auto"/>
          </w:tcPr>
          <w:p w14:paraId="18D2F7A4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</w:rPr>
            </w:pPr>
          </w:p>
          <w:p w14:paraId="70731096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i/>
                <w:szCs w:val="22"/>
              </w:rPr>
            </w:pPr>
            <w:r w:rsidRPr="00296BF5">
              <w:rPr>
                <w:rFonts w:ascii="Arial" w:hAnsi="Arial"/>
                <w:b/>
                <w:szCs w:val="22"/>
              </w:rPr>
              <w:t>Total mensuel toutes liaisons</w:t>
            </w:r>
            <w:r w:rsidRPr="00296BF5">
              <w:rPr>
                <w:rFonts w:ascii="Arial" w:hAnsi="Arial"/>
                <w:szCs w:val="22"/>
              </w:rPr>
              <w:t xml:space="preserve"> </w:t>
            </w:r>
            <w:r w:rsidRPr="00296BF5">
              <w:rPr>
                <w:rFonts w:ascii="Arial" w:hAnsi="Arial"/>
                <w:i/>
                <w:szCs w:val="22"/>
              </w:rPr>
              <w:t>(Somme des coûts forfaitaires)</w:t>
            </w:r>
          </w:p>
          <w:p w14:paraId="09504BAC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</w:p>
          <w:p w14:paraId="6873BEA7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  <w:tc>
          <w:tcPr>
            <w:tcW w:w="3587" w:type="dxa"/>
            <w:shd w:val="clear" w:color="auto" w:fill="auto"/>
          </w:tcPr>
          <w:p w14:paraId="3B65FD36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  <w:tc>
          <w:tcPr>
            <w:tcW w:w="3587" w:type="dxa"/>
            <w:shd w:val="clear" w:color="auto" w:fill="auto"/>
          </w:tcPr>
          <w:p w14:paraId="52AFD3B6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</w:tr>
      <w:tr w:rsidR="00296BF5" w:rsidRPr="00296BF5" w14:paraId="5BFA1633" w14:textId="77777777" w:rsidTr="00F671ED">
        <w:tc>
          <w:tcPr>
            <w:tcW w:w="3589" w:type="dxa"/>
            <w:shd w:val="clear" w:color="auto" w:fill="auto"/>
          </w:tcPr>
          <w:p w14:paraId="17B93995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  <w:p w14:paraId="37E2B5A3" w14:textId="6574B59B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szCs w:val="22"/>
              </w:rPr>
            </w:pPr>
            <w:r w:rsidRPr="00296BF5">
              <w:rPr>
                <w:rFonts w:ascii="Arial" w:hAnsi="Arial"/>
                <w:b/>
                <w:szCs w:val="22"/>
              </w:rPr>
              <w:t xml:space="preserve">Total </w:t>
            </w:r>
            <w:r w:rsidR="00F671ED">
              <w:rPr>
                <w:rFonts w:ascii="Arial" w:hAnsi="Arial"/>
                <w:b/>
                <w:szCs w:val="22"/>
              </w:rPr>
              <w:t>annuel</w:t>
            </w:r>
            <w:r w:rsidRPr="00296BF5">
              <w:rPr>
                <w:rFonts w:ascii="Arial" w:hAnsi="Arial"/>
                <w:b/>
                <w:szCs w:val="22"/>
              </w:rPr>
              <w:t xml:space="preserve"> toutes liaisons</w:t>
            </w:r>
            <w:r w:rsidRPr="00296BF5">
              <w:rPr>
                <w:rFonts w:ascii="Arial" w:hAnsi="Arial"/>
                <w:szCs w:val="22"/>
              </w:rPr>
              <w:t xml:space="preserve"> </w:t>
            </w:r>
            <w:r w:rsidRPr="00296BF5">
              <w:rPr>
                <w:rFonts w:ascii="Arial" w:hAnsi="Arial"/>
                <w:i/>
                <w:szCs w:val="22"/>
              </w:rPr>
              <w:t>(total mensuel x 12)</w:t>
            </w:r>
          </w:p>
          <w:p w14:paraId="0F5F0403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  <w:p w14:paraId="4B2999BE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  <w:tc>
          <w:tcPr>
            <w:tcW w:w="3587" w:type="dxa"/>
            <w:shd w:val="clear" w:color="auto" w:fill="auto"/>
          </w:tcPr>
          <w:p w14:paraId="15FBDFC6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  <w:tc>
          <w:tcPr>
            <w:tcW w:w="3587" w:type="dxa"/>
            <w:shd w:val="clear" w:color="auto" w:fill="auto"/>
          </w:tcPr>
          <w:p w14:paraId="7AC468EC" w14:textId="77777777" w:rsidR="00296BF5" w:rsidRPr="00296BF5" w:rsidRDefault="00296BF5" w:rsidP="00296BF5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</w:tr>
    </w:tbl>
    <w:p w14:paraId="468FFDD3" w14:textId="77777777" w:rsidR="00296BF5" w:rsidRDefault="00296BF5" w:rsidP="00296BF5">
      <w:pPr>
        <w:jc w:val="both"/>
        <w:rPr>
          <w:rFonts w:ascii="Arial" w:hAnsi="Arial"/>
        </w:rPr>
      </w:pPr>
    </w:p>
    <w:p w14:paraId="56BDD0F5" w14:textId="77777777" w:rsidR="00296BF5" w:rsidRPr="00E821E9" w:rsidRDefault="00296BF5" w:rsidP="00296BF5">
      <w:pPr>
        <w:numPr>
          <w:ilvl w:val="0"/>
          <w:numId w:val="2"/>
        </w:numPr>
        <w:jc w:val="both"/>
        <w:outlineLvl w:val="0"/>
        <w:rPr>
          <w:rFonts w:ascii="Arial" w:hAnsi="Arial"/>
          <w:sz w:val="20"/>
        </w:rPr>
      </w:pPr>
      <w:r w:rsidRPr="00296BF5">
        <w:rPr>
          <w:rFonts w:ascii="Arial" w:hAnsi="Arial"/>
          <w:sz w:val="20"/>
        </w:rPr>
        <w:t>Ces coûts intègrent l’ensemble des éléments de prix définis à l’article 4 du CCAP.</w:t>
      </w:r>
    </w:p>
    <w:sectPr w:rsidR="00296BF5" w:rsidRPr="00E821E9" w:rsidSect="00296BF5">
      <w:footerReference w:type="default" r:id="rId8"/>
      <w:pgSz w:w="11907" w:h="16840" w:code="9"/>
      <w:pgMar w:top="567" w:right="567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8932" w14:textId="77777777" w:rsidR="00296BF5" w:rsidRDefault="00296BF5" w:rsidP="00296BF5">
      <w:r>
        <w:separator/>
      </w:r>
    </w:p>
  </w:endnote>
  <w:endnote w:type="continuationSeparator" w:id="0">
    <w:p w14:paraId="5AD51255" w14:textId="77777777" w:rsidR="00296BF5" w:rsidRDefault="00296BF5" w:rsidP="0029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9C3C" w14:textId="77777777" w:rsidR="00F671ED" w:rsidRDefault="00F671ED">
    <w:pPr>
      <w:pStyle w:val="Pieddepage"/>
      <w:framePr w:wrap="around" w:vAnchor="text" w:hAnchor="margin" w:xAlign="right" w:y="1"/>
      <w:rPr>
        <w:rStyle w:val="Numrodepage"/>
        <w:rFonts w:eastAsiaTheme="majorEastAsia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19"/>
      <w:gridCol w:w="6903"/>
      <w:gridCol w:w="1851"/>
    </w:tblGrid>
    <w:tr w:rsidR="00A5658C" w14:paraId="34ADDEB3" w14:textId="77777777" w:rsidTr="00202F95">
      <w:trPr>
        <w:trHeight w:hRule="exact" w:val="1080"/>
      </w:trPr>
      <w:tc>
        <w:tcPr>
          <w:tcW w:w="937" w:type="pct"/>
          <w:vAlign w:val="center"/>
        </w:tcPr>
        <w:p w14:paraId="6B3D776C" w14:textId="77777777" w:rsidR="00F671ED" w:rsidRDefault="00F671ED" w:rsidP="00223C21">
          <w:pPr>
            <w:pStyle w:val="Pieddepage"/>
            <w:snapToGrid w:val="0"/>
            <w:jc w:val="center"/>
            <w:rPr>
              <w:sz w:val="20"/>
            </w:rPr>
          </w:pPr>
        </w:p>
        <w:p w14:paraId="301B4AF8" w14:textId="77777777" w:rsidR="00F671ED" w:rsidRDefault="00F671ED" w:rsidP="00FD30D0">
          <w:pPr>
            <w:pStyle w:val="Pieddepage"/>
            <w:snapToGrid w:val="0"/>
            <w:jc w:val="center"/>
            <w:rPr>
              <w:sz w:val="20"/>
            </w:rPr>
          </w:pPr>
          <w:r>
            <w:rPr>
              <w:sz w:val="20"/>
            </w:rPr>
            <w:t>Consultation</w:t>
          </w:r>
        </w:p>
        <w:p w14:paraId="06FCF49B" w14:textId="2C44F878" w:rsidR="00F671ED" w:rsidRDefault="00F671ED" w:rsidP="00296BF5">
          <w:pPr>
            <w:pStyle w:val="Pieddepage"/>
            <w:snapToGrid w:val="0"/>
            <w:jc w:val="center"/>
          </w:pPr>
          <w:r w:rsidRPr="00DA5368">
            <w:rPr>
              <w:b/>
              <w:sz w:val="20"/>
            </w:rPr>
            <w:t>N°</w:t>
          </w:r>
          <w:r w:rsidR="00296BF5">
            <w:rPr>
              <w:b/>
              <w:sz w:val="20"/>
            </w:rPr>
            <w:t>2025-GR-03</w:t>
          </w:r>
        </w:p>
        <w:p w14:paraId="3140A485" w14:textId="77777777" w:rsidR="00F671ED" w:rsidRDefault="00F671ED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17F43D5D" w14:textId="77777777" w:rsidR="00F671ED" w:rsidRDefault="00F671ED" w:rsidP="000B7D09">
          <w:pPr>
            <w:pStyle w:val="Pieddepage"/>
            <w:snapToGrid w:val="0"/>
            <w:jc w:val="center"/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65911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Prestations d</w:t>
          </w:r>
          <w:r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’acheminement du courrier et de colis par navettes</w:t>
          </w:r>
        </w:p>
        <w:p w14:paraId="0FE2D15C" w14:textId="77777777" w:rsidR="00F671ED" w:rsidRPr="006756FA" w:rsidRDefault="00F671ED" w:rsidP="000B7D09">
          <w:pPr>
            <w:pStyle w:val="Pieddepage"/>
            <w:snapToGrid w:val="0"/>
            <w:jc w:val="center"/>
            <w:rPr>
              <w:sz w:val="20"/>
              <w:szCs w:val="20"/>
            </w:rPr>
          </w:pPr>
          <w:r>
            <w:rPr>
              <w:sz w:val="20"/>
            </w:rPr>
            <w:t>Annexe financière</w:t>
          </w:r>
        </w:p>
      </w:tc>
      <w:tc>
        <w:tcPr>
          <w:tcW w:w="859" w:type="pct"/>
          <w:vAlign w:val="center"/>
        </w:tcPr>
        <w:p w14:paraId="0B866F39" w14:textId="77777777" w:rsidR="00F671ED" w:rsidRDefault="00F671ED">
          <w:pPr>
            <w:pStyle w:val="Pieddepage"/>
            <w:snapToGrid w:val="0"/>
            <w:jc w:val="center"/>
            <w:rPr>
              <w:rStyle w:val="Numrodepage"/>
              <w:rFonts w:eastAsiaTheme="majorEastAsia"/>
              <w:sz w:val="18"/>
            </w:rPr>
          </w:pPr>
          <w:r>
            <w:rPr>
              <w:rStyle w:val="Numrodepage"/>
              <w:rFonts w:eastAsiaTheme="majorEastAsia"/>
              <w:snapToGrid w:val="0"/>
              <w:sz w:val="18"/>
            </w:rPr>
            <w:t xml:space="preserve">Page </w:t>
          </w:r>
          <w:r w:rsidRPr="009F1A0C">
            <w:rPr>
              <w:rStyle w:val="Numrodepage"/>
              <w:rFonts w:eastAsiaTheme="majorEastAsia"/>
              <w:snapToGrid w:val="0"/>
              <w:sz w:val="18"/>
            </w:rPr>
            <w:fldChar w:fldCharType="begin"/>
          </w:r>
          <w:r w:rsidRPr="009F1A0C">
            <w:rPr>
              <w:rStyle w:val="Numrodepage"/>
              <w:rFonts w:eastAsiaTheme="majorEastAsia"/>
              <w:snapToGrid w:val="0"/>
              <w:sz w:val="18"/>
            </w:rPr>
            <w:instrText xml:space="preserve"> PAGE   \* MERGEFORMAT </w:instrText>
          </w:r>
          <w:r w:rsidRPr="009F1A0C">
            <w:rPr>
              <w:rStyle w:val="Numrodepage"/>
              <w:rFonts w:eastAsiaTheme="majorEastAsia"/>
              <w:snapToGrid w:val="0"/>
              <w:sz w:val="18"/>
            </w:rPr>
            <w:fldChar w:fldCharType="separate"/>
          </w:r>
          <w:r>
            <w:rPr>
              <w:rStyle w:val="Numrodepage"/>
              <w:rFonts w:eastAsiaTheme="majorEastAsia"/>
              <w:noProof/>
              <w:snapToGrid w:val="0"/>
              <w:sz w:val="18"/>
            </w:rPr>
            <w:t>1</w:t>
          </w:r>
          <w:r w:rsidRPr="009F1A0C">
            <w:rPr>
              <w:rStyle w:val="Numrodepage"/>
              <w:rFonts w:eastAsiaTheme="majorEastAsia"/>
              <w:snapToGrid w:val="0"/>
              <w:sz w:val="18"/>
            </w:rPr>
            <w:fldChar w:fldCharType="end"/>
          </w:r>
          <w:r>
            <w:rPr>
              <w:rStyle w:val="Numrodepage"/>
              <w:rFonts w:eastAsiaTheme="majorEastAsia"/>
              <w:snapToGrid w:val="0"/>
              <w:sz w:val="18"/>
            </w:rPr>
            <w:t xml:space="preserve"> sur 2</w:t>
          </w:r>
        </w:p>
        <w:p w14:paraId="3F65850B" w14:textId="77777777" w:rsidR="00F671ED" w:rsidRDefault="00F671ED">
          <w:pPr>
            <w:pStyle w:val="Pieddepage"/>
            <w:snapToGrid w:val="0"/>
            <w:jc w:val="right"/>
            <w:rPr>
              <w:rStyle w:val="Numrodepage"/>
              <w:rFonts w:eastAsiaTheme="majorEastAsia"/>
              <w:sz w:val="18"/>
            </w:rPr>
          </w:pPr>
        </w:p>
      </w:tc>
    </w:tr>
  </w:tbl>
  <w:p w14:paraId="0D453B7E" w14:textId="77777777" w:rsidR="00F671ED" w:rsidRDefault="00F671ED">
    <w:pPr>
      <w:pStyle w:val="Pieddepage"/>
      <w:ind w:right="360"/>
      <w:rPr>
        <w:rStyle w:val="Numrodepage"/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9382" w14:textId="77777777" w:rsidR="00296BF5" w:rsidRDefault="00296BF5" w:rsidP="00296BF5">
      <w:r>
        <w:separator/>
      </w:r>
    </w:p>
  </w:footnote>
  <w:footnote w:type="continuationSeparator" w:id="0">
    <w:p w14:paraId="6987EE5D" w14:textId="77777777" w:rsidR="00296BF5" w:rsidRDefault="00296BF5" w:rsidP="00296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E42E5"/>
    <w:multiLevelType w:val="hybridMultilevel"/>
    <w:tmpl w:val="21087C88"/>
    <w:lvl w:ilvl="0" w:tplc="D1CC33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A645B6"/>
    <w:multiLevelType w:val="hybridMultilevel"/>
    <w:tmpl w:val="0BBA1F58"/>
    <w:lvl w:ilvl="0" w:tplc="D5FCD8AC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  <w:szCs w:val="1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007831">
    <w:abstractNumId w:val="1"/>
  </w:num>
  <w:num w:numId="2" w16cid:durableId="201584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F5"/>
    <w:rsid w:val="0017080C"/>
    <w:rsid w:val="00236C34"/>
    <w:rsid w:val="00243027"/>
    <w:rsid w:val="00296BF5"/>
    <w:rsid w:val="00424DF3"/>
    <w:rsid w:val="0043446E"/>
    <w:rsid w:val="007D32FC"/>
    <w:rsid w:val="00B345B4"/>
    <w:rsid w:val="00F6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C9ABDA"/>
  <w15:chartTrackingRefBased/>
  <w15:docId w15:val="{C0C69DDE-8745-44A5-9E53-5A4EA925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BF5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96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96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6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96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6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96B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96B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96B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96B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96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96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96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96BF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96B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96B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96B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96B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96BF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96B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9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96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96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96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96B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96B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96B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96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96B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96BF5"/>
    <w:rPr>
      <w:b/>
      <w:bCs/>
      <w:smallCaps/>
      <w:color w:val="0F4761" w:themeColor="accent1" w:themeShade="BF"/>
      <w:spacing w:val="5"/>
    </w:rPr>
  </w:style>
  <w:style w:type="character" w:styleId="Numrodepage">
    <w:name w:val="page number"/>
    <w:basedOn w:val="Policepardfaut"/>
    <w:rsid w:val="00296BF5"/>
  </w:style>
  <w:style w:type="paragraph" w:styleId="Pieddepage">
    <w:name w:val="footer"/>
    <w:basedOn w:val="Normal"/>
    <w:link w:val="PieddepageCar"/>
    <w:uiPriority w:val="99"/>
    <w:rsid w:val="00296BF5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96BF5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296BF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6BF5"/>
    <w:pPr>
      <w:spacing w:before="100" w:beforeAutospacing="1" w:after="100" w:afterAutospacing="1"/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96B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6BF5"/>
    <w:rPr>
      <w:rFonts w:ascii="Times New Roman" w:eastAsia="Times New Roman" w:hAnsi="Times New Roman" w:cs="Times New Roman"/>
      <w:kern w:val="0"/>
      <w:sz w:val="22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LEROY Tony (Normandie)</cp:lastModifiedBy>
  <cp:revision>4</cp:revision>
  <dcterms:created xsi:type="dcterms:W3CDTF">2025-07-16T08:11:00Z</dcterms:created>
  <dcterms:modified xsi:type="dcterms:W3CDTF">2025-07-17T09:00:00Z</dcterms:modified>
</cp:coreProperties>
</file>